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2925315B"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C92EBC" w:rsidRPr="00C92EBC">
        <w:rPr>
          <w:rFonts w:ascii="Arial" w:hAnsi="Arial" w:cs="Arial"/>
          <w:b/>
          <w:bCs/>
          <w:sz w:val="24"/>
        </w:rPr>
        <w:t>S2-</w:t>
      </w:r>
      <w:r w:rsidR="00F77A8A" w:rsidRPr="00C92EBC">
        <w:rPr>
          <w:rFonts w:ascii="Arial" w:hAnsi="Arial" w:cs="Arial"/>
          <w:b/>
          <w:bCs/>
          <w:sz w:val="24"/>
        </w:rPr>
        <w:t>1</w:t>
      </w:r>
      <w:bookmarkStart w:id="0" w:name="_GoBack"/>
      <w:bookmarkEnd w:id="0"/>
      <w:r w:rsidR="00F77A8A" w:rsidRPr="00C92EBC">
        <w:rPr>
          <w:rFonts w:ascii="Arial" w:hAnsi="Arial" w:cs="Arial"/>
          <w:b/>
          <w:bCs/>
          <w:sz w:val="24"/>
        </w:rPr>
        <w:t>810</w:t>
      </w:r>
      <w:r w:rsidR="00F77A8A">
        <w:rPr>
          <w:rFonts w:ascii="Arial" w:hAnsi="Arial" w:cs="Arial"/>
          <w:b/>
          <w:bCs/>
          <w:sz w:val="24"/>
        </w:rPr>
        <w:t>724</w:t>
      </w:r>
    </w:p>
    <w:p w14:paraId="56783384" w14:textId="3ED7E708"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1930096F"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C92EBC">
        <w:rPr>
          <w:rFonts w:ascii="Arial" w:hAnsi="Arial" w:cs="Arial"/>
          <w:b/>
        </w:rPr>
        <w:t>updated of solution in clause 6.</w:t>
      </w:r>
      <w:r w:rsidR="007F70FE">
        <w:rPr>
          <w:rFonts w:ascii="Arial" w:hAnsi="Arial" w:cs="Arial"/>
          <w:b/>
        </w:rPr>
        <w:t>3</w:t>
      </w:r>
      <w:r w:rsidR="00C92EBC">
        <w:rPr>
          <w:rFonts w:ascii="Arial" w:hAnsi="Arial" w:cs="Arial"/>
          <w:b/>
        </w:rPr>
        <w:t>.</w:t>
      </w:r>
      <w:r w:rsidR="007F70FE">
        <w:rPr>
          <w:rFonts w:ascii="Arial" w:hAnsi="Arial" w:cs="Arial"/>
          <w:b/>
        </w:rPr>
        <w:t>2</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5B5AF4FE"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6.2</w:t>
      </w:r>
      <w:r w:rsidR="000F2382">
        <w:rPr>
          <w:rFonts w:ascii="Arial" w:hAnsi="Arial" w:cs="Arial"/>
          <w:b/>
        </w:rPr>
        <w:t>1</w:t>
      </w:r>
    </w:p>
    <w:p w14:paraId="5744C723" w14:textId="7D81BCB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0F2382">
        <w:rPr>
          <w:rFonts w:ascii="Arial" w:hAnsi="Arial" w:cs="Arial"/>
          <w:b/>
          <w:lang w:eastAsia="zh-CN"/>
        </w:rPr>
        <w:t>eNS</w:t>
      </w:r>
      <w:proofErr w:type="spellEnd"/>
      <w:r w:rsidR="004B55A2">
        <w:rPr>
          <w:rFonts w:ascii="Arial" w:hAnsi="Arial" w:cs="Arial"/>
          <w:b/>
          <w:lang w:eastAsia="zh-CN"/>
        </w:rPr>
        <w:t>/Rel-16</w:t>
      </w:r>
    </w:p>
    <w:p w14:paraId="049875D7" w14:textId="3863938F"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568B4C09" w14:textId="49CB481F" w:rsidR="00F56DF1" w:rsidRDefault="00CB7144" w:rsidP="00CB7144">
      <w:r>
        <w:t xml:space="preserve">It is proposed the following </w:t>
      </w:r>
      <w:r w:rsidR="00F77A8A">
        <w:t xml:space="preserve">text changes are agreed </w:t>
      </w:r>
      <w:proofErr w:type="gramStart"/>
      <w:r w:rsidR="00F77A8A">
        <w:t xml:space="preserve">for </w:t>
      </w:r>
      <w:r>
        <w:t xml:space="preserve"> to</w:t>
      </w:r>
      <w:proofErr w:type="gramEnd"/>
      <w:r>
        <w:t xml:space="preserve"> TR 23.74</w:t>
      </w:r>
      <w:r w:rsidR="000F2382">
        <w:t>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6E349C71" w14:textId="77777777" w:rsidR="007F70FE" w:rsidRPr="007F70FE" w:rsidRDefault="007F70FE" w:rsidP="007F70FE">
      <w:pPr>
        <w:keepNext/>
        <w:keepLines/>
        <w:spacing w:before="120"/>
        <w:ind w:left="1134" w:hanging="1134"/>
        <w:outlineLvl w:val="2"/>
        <w:rPr>
          <w:rFonts w:ascii="Arial" w:eastAsia="Times New Roman" w:hAnsi="Arial"/>
          <w:color w:val="auto"/>
          <w:sz w:val="28"/>
          <w:lang w:val="x-none"/>
        </w:rPr>
      </w:pPr>
      <w:bookmarkStart w:id="2" w:name="_Toc523908552"/>
      <w:r w:rsidRPr="007F70FE">
        <w:rPr>
          <w:rFonts w:ascii="Arial" w:eastAsia="Times New Roman" w:hAnsi="Arial"/>
          <w:color w:val="auto"/>
          <w:sz w:val="28"/>
          <w:lang w:val="x-none"/>
        </w:rPr>
        <w:t>6</w:t>
      </w:r>
      <w:r w:rsidRPr="007F70FE">
        <w:rPr>
          <w:rFonts w:ascii="Arial" w:eastAsia="Times New Roman" w:hAnsi="Arial" w:hint="eastAsia"/>
          <w:color w:val="auto"/>
          <w:sz w:val="28"/>
          <w:lang w:val="x-none"/>
        </w:rPr>
        <w:t>.</w:t>
      </w:r>
      <w:r w:rsidRPr="007F70FE">
        <w:rPr>
          <w:rFonts w:ascii="Arial" w:eastAsia="Times New Roman" w:hAnsi="Arial"/>
          <w:color w:val="auto"/>
          <w:sz w:val="28"/>
          <w:lang w:val="x-none"/>
        </w:rPr>
        <w:t>3.2</w:t>
      </w:r>
      <w:r w:rsidRPr="007F70FE">
        <w:rPr>
          <w:rFonts w:ascii="Arial" w:eastAsia="Times New Roman" w:hAnsi="Arial" w:hint="eastAsia"/>
          <w:color w:val="auto"/>
          <w:sz w:val="28"/>
          <w:lang w:val="x-none" w:eastAsia="ko-KR"/>
        </w:rPr>
        <w:tab/>
      </w:r>
      <w:r w:rsidRPr="007F70FE">
        <w:rPr>
          <w:rFonts w:ascii="Arial" w:eastAsia="Times New Roman" w:hAnsi="Arial"/>
          <w:color w:val="auto"/>
          <w:sz w:val="28"/>
          <w:lang w:val="x-none"/>
        </w:rPr>
        <w:t>Solution</w:t>
      </w:r>
      <w:r w:rsidRPr="007F70FE">
        <w:rPr>
          <w:rFonts w:ascii="Arial" w:eastAsia="Times New Roman" w:hAnsi="Arial" w:hint="eastAsia"/>
          <w:color w:val="auto"/>
          <w:sz w:val="28"/>
          <w:lang w:val="x-none"/>
        </w:rPr>
        <w:t xml:space="preserve"> #</w:t>
      </w:r>
      <w:r w:rsidRPr="007F70FE">
        <w:rPr>
          <w:rFonts w:ascii="Arial" w:eastAsia="Times New Roman" w:hAnsi="Arial"/>
          <w:color w:val="auto"/>
          <w:sz w:val="28"/>
          <w:lang w:val="x-none"/>
        </w:rPr>
        <w:t xml:space="preserve">3.2: Solution to KI#3 on </w:t>
      </w:r>
      <w:bookmarkStart w:id="3" w:name="_Hlk517503714"/>
      <w:r w:rsidRPr="007F70FE">
        <w:rPr>
          <w:rFonts w:ascii="Arial" w:eastAsia="Times New Roman" w:hAnsi="Arial"/>
          <w:color w:val="auto"/>
          <w:sz w:val="28"/>
          <w:lang w:val="x-none"/>
        </w:rPr>
        <w:t>Slice Specific Authentication and Authorization</w:t>
      </w:r>
      <w:bookmarkEnd w:id="3"/>
      <w:r w:rsidRPr="007F70FE">
        <w:rPr>
          <w:rFonts w:ascii="Arial" w:eastAsia="Times New Roman" w:hAnsi="Arial"/>
          <w:color w:val="auto"/>
          <w:sz w:val="28"/>
          <w:lang w:val="x-none"/>
        </w:rPr>
        <w:t xml:space="preserve"> using non 3GPP credentials</w:t>
      </w:r>
      <w:bookmarkEnd w:id="2"/>
    </w:p>
    <w:p w14:paraId="73629F12" w14:textId="77777777" w:rsidR="007F70FE" w:rsidRPr="007F70FE" w:rsidRDefault="007F70FE" w:rsidP="007F70FE">
      <w:pPr>
        <w:keepNext/>
        <w:keepLines/>
        <w:spacing w:before="120"/>
        <w:ind w:left="1418" w:hanging="1418"/>
        <w:outlineLvl w:val="3"/>
        <w:rPr>
          <w:rFonts w:ascii="Arial" w:eastAsia="Times New Roman" w:hAnsi="Arial"/>
          <w:color w:val="auto"/>
          <w:sz w:val="24"/>
          <w:lang w:val="x-none"/>
        </w:rPr>
      </w:pPr>
      <w:bookmarkStart w:id="4" w:name="_Toc523908553"/>
      <w:r w:rsidRPr="007F70FE">
        <w:rPr>
          <w:rFonts w:ascii="Arial" w:eastAsia="Times New Roman" w:hAnsi="Arial"/>
          <w:color w:val="auto"/>
          <w:sz w:val="24"/>
          <w:lang w:val="x-none"/>
        </w:rPr>
        <w:t>6.3.2.</w:t>
      </w:r>
      <w:r w:rsidRPr="007F70FE">
        <w:rPr>
          <w:rFonts w:ascii="Arial" w:eastAsia="Times New Roman" w:hAnsi="Arial" w:hint="eastAsia"/>
          <w:color w:val="auto"/>
          <w:sz w:val="24"/>
          <w:lang w:val="x-none"/>
        </w:rPr>
        <w:t>1</w:t>
      </w:r>
      <w:r w:rsidRPr="007F70FE">
        <w:rPr>
          <w:rFonts w:ascii="Arial" w:eastAsia="Times New Roman" w:hAnsi="Arial" w:hint="eastAsia"/>
          <w:color w:val="auto"/>
          <w:sz w:val="24"/>
          <w:lang w:val="x-none"/>
        </w:rPr>
        <w:tab/>
      </w:r>
      <w:r w:rsidRPr="007F70FE">
        <w:rPr>
          <w:rFonts w:ascii="Arial" w:eastAsia="Times New Roman" w:hAnsi="Arial"/>
          <w:color w:val="auto"/>
          <w:sz w:val="24"/>
          <w:lang w:val="x-none"/>
        </w:rPr>
        <w:t>Introduction</w:t>
      </w:r>
      <w:bookmarkEnd w:id="4"/>
    </w:p>
    <w:p w14:paraId="297D77D7" w14:textId="77777777" w:rsidR="007F70FE" w:rsidRPr="007F70FE" w:rsidRDefault="007F70FE" w:rsidP="007F70FE">
      <w:pPr>
        <w:overflowPunct/>
        <w:autoSpaceDE/>
        <w:autoSpaceDN/>
        <w:adjustRightInd/>
        <w:textAlignment w:val="auto"/>
        <w:rPr>
          <w:rFonts w:eastAsia="Malgun Gothic"/>
          <w:color w:val="auto"/>
          <w:lang w:eastAsia="en-US"/>
        </w:rPr>
      </w:pPr>
      <w:r w:rsidRPr="007F70FE">
        <w:rPr>
          <w:rFonts w:eastAsia="Malgun Gothic"/>
          <w:color w:val="auto"/>
          <w:lang w:eastAsia="en-US"/>
        </w:rPr>
        <w:t>The scenario considered for the solution is that there is an Authentication, Authorisation and Accounting Server (AAA-S) deployed in a PLMN or in a third-party network that allows Slice-Specific secondary authentication and authorisation of users who have the right of access to certain slices. The AAA Server handles the User IDs and credentials for a Secondary authentication at a non 3GPP User ID level, after the UE has been authenticated by the 3GPP system for PLMN access. A AAA proxy function (AAA-F) is also defined to provide a single point of interaction from the PLMN with the third parties. The AAA-F can be a standalone or its services could be supported by other NFs (i.e. AUSF or NEF).</w:t>
      </w:r>
    </w:p>
    <w:p w14:paraId="4D6B4826" w14:textId="77777777" w:rsidR="007F70FE" w:rsidRPr="007F70FE" w:rsidRDefault="007F70FE" w:rsidP="007F70FE">
      <w:pPr>
        <w:keepNext/>
        <w:keepLines/>
        <w:spacing w:before="120"/>
        <w:ind w:left="1418" w:hanging="1418"/>
        <w:outlineLvl w:val="3"/>
        <w:rPr>
          <w:rFonts w:ascii="Arial" w:eastAsia="Times New Roman" w:hAnsi="Arial"/>
          <w:color w:val="auto"/>
          <w:sz w:val="24"/>
          <w:lang w:val="x-none"/>
        </w:rPr>
      </w:pPr>
      <w:bookmarkStart w:id="5" w:name="_Toc523908554"/>
      <w:r w:rsidRPr="007F70FE">
        <w:rPr>
          <w:rFonts w:ascii="Arial" w:eastAsia="Times New Roman" w:hAnsi="Arial"/>
          <w:color w:val="auto"/>
          <w:sz w:val="24"/>
          <w:lang w:val="x-none"/>
        </w:rPr>
        <w:t>6.3.2.2</w:t>
      </w:r>
      <w:r w:rsidRPr="007F70FE">
        <w:rPr>
          <w:rFonts w:ascii="Arial" w:eastAsia="Times New Roman" w:hAnsi="Arial" w:hint="eastAsia"/>
          <w:color w:val="auto"/>
          <w:sz w:val="24"/>
          <w:lang w:val="x-none"/>
        </w:rPr>
        <w:tab/>
      </w:r>
      <w:r w:rsidRPr="007F70FE">
        <w:rPr>
          <w:rFonts w:ascii="Arial" w:eastAsia="Times New Roman" w:hAnsi="Arial"/>
          <w:color w:val="auto"/>
          <w:sz w:val="24"/>
          <w:lang w:val="x-none"/>
        </w:rPr>
        <w:t>Functional d</w:t>
      </w:r>
      <w:r w:rsidRPr="007F70FE">
        <w:rPr>
          <w:rFonts w:ascii="Arial" w:eastAsia="Times New Roman" w:hAnsi="Arial" w:hint="eastAsia"/>
          <w:color w:val="auto"/>
          <w:sz w:val="24"/>
          <w:lang w:val="x-none"/>
        </w:rPr>
        <w:t>escription</w:t>
      </w:r>
      <w:bookmarkEnd w:id="5"/>
    </w:p>
    <w:p w14:paraId="27BBB9DD" w14:textId="77777777" w:rsidR="007F70FE" w:rsidRPr="007F70FE" w:rsidRDefault="007F70FE" w:rsidP="007F70FE">
      <w:pPr>
        <w:overflowPunct/>
        <w:autoSpaceDE/>
        <w:autoSpaceDN/>
        <w:adjustRightInd/>
        <w:textAlignment w:val="auto"/>
        <w:rPr>
          <w:rFonts w:eastAsia="Malgun Gothic"/>
          <w:color w:val="auto"/>
          <w:lang w:eastAsia="en-US"/>
        </w:rPr>
      </w:pPr>
      <w:r w:rsidRPr="007F70FE">
        <w:rPr>
          <w:rFonts w:eastAsia="Malgun Gothic"/>
          <w:color w:val="auto"/>
          <w:lang w:eastAsia="en-US"/>
        </w:rPr>
        <w:t xml:space="preserve">If a UE subscription includes an S-NSSAI of a slice that requires Slice-Specific Secondary Authentication and Authorisation, the UDM stores a flag indicating that this step is needed for the S-NSSAI. The IP address or FQDN/realm of the AAA Server that would perform the authentication and authorisation may be stored in the AAA-F per S-NSSAI. Alternately, if the User ID in the third party is defined as a NAI (see RFC 4282 [8]), i.e. the User ID is in the form </w:t>
      </w:r>
      <w:proofErr w:type="spellStart"/>
      <w:r w:rsidRPr="007F70FE">
        <w:rPr>
          <w:rFonts w:eastAsia="Malgun Gothic"/>
          <w:color w:val="auto"/>
          <w:lang w:eastAsia="en-US"/>
        </w:rPr>
        <w:t>user@domain</w:t>
      </w:r>
      <w:proofErr w:type="spellEnd"/>
      <w:r w:rsidRPr="007F70FE">
        <w:rPr>
          <w:rFonts w:eastAsia="Malgun Gothic"/>
          <w:color w:val="auto"/>
          <w:lang w:eastAsia="en-US"/>
        </w:rPr>
        <w:t>, the IP Address is not needed in AAA-F and the correct AAA-S is derived at AAA-F by resolving the domain part of the NAI.</w:t>
      </w:r>
    </w:p>
    <w:p w14:paraId="67D627E1" w14:textId="77777777" w:rsidR="007F70FE" w:rsidRPr="007F70FE" w:rsidRDefault="007F70FE" w:rsidP="007F70FE">
      <w:pPr>
        <w:overflowPunct/>
        <w:autoSpaceDE/>
        <w:autoSpaceDN/>
        <w:adjustRightInd/>
        <w:textAlignment w:val="auto"/>
        <w:rPr>
          <w:rFonts w:eastAsia="Malgun Gothic"/>
          <w:color w:val="auto"/>
          <w:lang w:eastAsia="en-US"/>
        </w:rPr>
      </w:pPr>
      <w:r w:rsidRPr="007F70FE">
        <w:rPr>
          <w:rFonts w:eastAsia="Malgun Gothic"/>
          <w:color w:val="auto"/>
          <w:lang w:eastAsia="en-US"/>
        </w:rPr>
        <w:t>When a UE performs a registration request which includes S-NSSAI(s) in the Requested NSSAI which needs Slice-Specific Secondary Authentication and Authorisation (as detected based on the subscription information, as outlined above), the AMF executes on top of any required PLMN specific Authentication and Authorization step, an Authentication and Authorization step that is run with the UE and involves the AAA Server for the specific S-NSSAI(s). In the worst case, one such step is needed for each S-NSSAI. In general, there can be a mix of slices requiring Slice-Specific Secondary Authentication and Authorisation, and slices that do not require this.</w:t>
      </w:r>
    </w:p>
    <w:p w14:paraId="1DC4BF5A" w14:textId="77777777" w:rsidR="007F70FE" w:rsidRPr="007F70FE" w:rsidRDefault="007F70FE" w:rsidP="007F70FE">
      <w:pPr>
        <w:overflowPunct/>
        <w:autoSpaceDE/>
        <w:autoSpaceDN/>
        <w:adjustRightInd/>
        <w:textAlignment w:val="auto"/>
        <w:rPr>
          <w:rFonts w:eastAsia="Malgun Gothic"/>
          <w:color w:val="auto"/>
          <w:lang w:eastAsia="en-US"/>
        </w:rPr>
      </w:pPr>
      <w:r w:rsidRPr="007F70FE">
        <w:rPr>
          <w:rFonts w:eastAsia="Malgun Gothic"/>
          <w:color w:val="auto"/>
          <w:lang w:eastAsia="en-US"/>
        </w:rPr>
        <w:t>For the S-NSSAIs which require Slice-Specific Secondary Authentication and Authorisation, the UE needs to be provided with the necessary credentials and algorithms necessary to authenticate itself with the AAA Server. This aspect is left out of the scope of this solution.</w:t>
      </w:r>
    </w:p>
    <w:p w14:paraId="1FEDA6A8" w14:textId="77777777" w:rsidR="007F70FE" w:rsidRPr="007F70FE" w:rsidRDefault="007F70FE" w:rsidP="007F70FE">
      <w:pPr>
        <w:overflowPunct/>
        <w:autoSpaceDE/>
        <w:autoSpaceDN/>
        <w:adjustRightInd/>
        <w:textAlignment w:val="auto"/>
        <w:rPr>
          <w:rFonts w:eastAsia="Malgun Gothic"/>
          <w:color w:val="auto"/>
          <w:lang w:eastAsia="en-US"/>
        </w:rPr>
      </w:pPr>
      <w:r w:rsidRPr="007F70FE">
        <w:rPr>
          <w:rFonts w:eastAsia="Malgun Gothic"/>
          <w:color w:val="auto"/>
          <w:lang w:eastAsia="en-US"/>
        </w:rPr>
        <w:t>The proposal assumes that the assumed transport protocol is EAP and is summarized by the following figure:</w:t>
      </w:r>
    </w:p>
    <w:p w14:paraId="7B1F2F07" w14:textId="77777777" w:rsidR="007F70FE" w:rsidRPr="007F70FE" w:rsidRDefault="007F70FE" w:rsidP="007F70FE">
      <w:pPr>
        <w:keepNext/>
        <w:keepLines/>
        <w:overflowPunct/>
        <w:autoSpaceDE/>
        <w:autoSpaceDN/>
        <w:adjustRightInd/>
        <w:spacing w:before="60"/>
        <w:jc w:val="center"/>
        <w:textAlignment w:val="auto"/>
        <w:rPr>
          <w:rFonts w:ascii="Arial" w:eastAsia="Malgun Gothic" w:hAnsi="Arial"/>
          <w:b/>
          <w:color w:val="auto"/>
          <w:lang w:eastAsia="x-none"/>
        </w:rPr>
      </w:pPr>
      <w:r w:rsidRPr="007F70FE">
        <w:rPr>
          <w:rFonts w:ascii="Arial" w:eastAsia="Malgun Gothic" w:hAnsi="Arial"/>
          <w:b/>
          <w:color w:val="auto"/>
          <w:lang w:eastAsia="x-none"/>
        </w:rPr>
        <w:object w:dxaOrig="9297" w:dyaOrig="8011" w14:anchorId="2C36A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240pt" o:ole="">
            <v:imagedata r:id="rId8" o:title=""/>
          </v:shape>
          <o:OLEObject Type="Embed" ProgID="Visio.Drawing.11" ShapeID="_x0000_i1025" DrawAspect="Content" ObjectID="_1600593841" r:id="rId9"/>
        </w:object>
      </w:r>
    </w:p>
    <w:p w14:paraId="765C21FD" w14:textId="77777777" w:rsidR="007F70FE" w:rsidRPr="007F70FE" w:rsidRDefault="007F70FE" w:rsidP="007F70FE">
      <w:pPr>
        <w:keepLines/>
        <w:overflowPunct/>
        <w:autoSpaceDE/>
        <w:autoSpaceDN/>
        <w:adjustRightInd/>
        <w:spacing w:after="240"/>
        <w:jc w:val="center"/>
        <w:textAlignment w:val="auto"/>
        <w:rPr>
          <w:rFonts w:ascii="Arial" w:eastAsia="Malgun Gothic" w:hAnsi="Arial"/>
          <w:b/>
          <w:color w:val="auto"/>
          <w:lang w:eastAsia="x-none"/>
        </w:rPr>
      </w:pPr>
      <w:r w:rsidRPr="007F70FE">
        <w:rPr>
          <w:rFonts w:ascii="Arial" w:eastAsia="Malgun Gothic" w:hAnsi="Arial"/>
          <w:b/>
          <w:color w:val="auto"/>
          <w:lang w:eastAsia="x-none"/>
        </w:rPr>
        <w:t xml:space="preserve">Figure 6.3.2.2-1: </w:t>
      </w:r>
      <w:r w:rsidRPr="007F70FE">
        <w:rPr>
          <w:rFonts w:ascii="Arial" w:eastAsia="Malgun Gothic" w:hAnsi="Arial"/>
          <w:b/>
          <w:color w:val="auto"/>
          <w:lang w:eastAsia="ko-KR"/>
        </w:rPr>
        <w:t xml:space="preserve">Registration with </w:t>
      </w:r>
      <w:r w:rsidRPr="007F70FE">
        <w:rPr>
          <w:rFonts w:ascii="Arial" w:eastAsia="Malgun Gothic" w:hAnsi="Arial"/>
          <w:b/>
          <w:color w:val="auto"/>
          <w:lang w:eastAsia="x-none"/>
        </w:rPr>
        <w:t>Slice-Specific</w:t>
      </w:r>
      <w:r w:rsidRPr="007F70FE">
        <w:rPr>
          <w:rFonts w:ascii="Arial" w:eastAsia="Malgun Gothic" w:hAnsi="Arial"/>
          <w:b/>
          <w:color w:val="auto"/>
          <w:lang w:eastAsia="ko-KR"/>
        </w:rPr>
        <w:t xml:space="preserve"> Secondary Authentication and Authorisation for Slice Access (high level concept)</w:t>
      </w:r>
    </w:p>
    <w:p w14:paraId="4790F041" w14:textId="77777777" w:rsidR="007F70FE" w:rsidRPr="007F70FE" w:rsidRDefault="007F70FE" w:rsidP="007F70FE">
      <w:pPr>
        <w:overflowPunct/>
        <w:autoSpaceDE/>
        <w:autoSpaceDN/>
        <w:adjustRightInd/>
        <w:textAlignment w:val="auto"/>
        <w:rPr>
          <w:rFonts w:eastAsia="Malgun Gothic"/>
          <w:color w:val="auto"/>
          <w:lang w:eastAsia="en-US"/>
        </w:rPr>
      </w:pPr>
      <w:r w:rsidRPr="007F70FE">
        <w:rPr>
          <w:rFonts w:eastAsia="Malgun Gothic"/>
          <w:color w:val="auto"/>
          <w:lang w:eastAsia="en-US"/>
        </w:rPr>
        <w:t>Step 4 is conditional to the S-NSSAI subscription data, checked at step 3, including a flag that indicates Slice-Specific Secondary Authentication and Authorisation is needed. If this is needed this step is executed. Once it is executed, status can be kept by the AMF in the UE context, so extra authentication is not repeated at subsequent registrations until a reauthentication is required by the AAA Server or the PLMN, based on policy.</w:t>
      </w:r>
    </w:p>
    <w:p w14:paraId="1E5DC582" w14:textId="77777777" w:rsidR="007F70FE" w:rsidRPr="007F70FE" w:rsidRDefault="007F70FE" w:rsidP="007F70FE">
      <w:pPr>
        <w:overflowPunct/>
        <w:autoSpaceDE/>
        <w:autoSpaceDN/>
        <w:adjustRightInd/>
        <w:textAlignment w:val="auto"/>
        <w:rPr>
          <w:rFonts w:eastAsia="Malgun Gothic"/>
          <w:color w:val="auto"/>
          <w:lang w:eastAsia="en-US"/>
        </w:rPr>
      </w:pPr>
      <w:r w:rsidRPr="007F70FE">
        <w:rPr>
          <w:rFonts w:eastAsia="Malgun Gothic"/>
          <w:color w:val="auto"/>
          <w:lang w:eastAsia="en-US"/>
        </w:rPr>
        <w:t xml:space="preserve">Explicit challenges used to reauthenticate the UE, or a request to revoke the authorization of the UE may come from the AAA Server and the AAA-F routes to the current serving AMF based on a binding between the User ID and the GPSI of the UE established when the UE is authorised. The AAA Server keeps a coupling between the User ID of the UE and the UE </w:t>
      </w:r>
      <w:proofErr w:type="gramStart"/>
      <w:r w:rsidRPr="007F70FE">
        <w:rPr>
          <w:rFonts w:eastAsia="Malgun Gothic"/>
          <w:color w:val="auto"/>
          <w:lang w:eastAsia="en-US"/>
        </w:rPr>
        <w:t>GPSI</w:t>
      </w:r>
      <w:proofErr w:type="gramEnd"/>
      <w:r w:rsidRPr="007F70FE">
        <w:rPr>
          <w:rFonts w:eastAsia="Malgun Gothic"/>
          <w:color w:val="auto"/>
          <w:lang w:eastAsia="en-US"/>
        </w:rPr>
        <w:t xml:space="preserve"> so it can pinpoint the UE for the User ID when it needs to be reauthenticated or its authorization status changes and needs to be revoked.</w:t>
      </w:r>
    </w:p>
    <w:p w14:paraId="0E6EC22E" w14:textId="77777777" w:rsidR="007F70FE" w:rsidRPr="007F70FE" w:rsidRDefault="007F70FE" w:rsidP="007F70FE">
      <w:pPr>
        <w:overflowPunct/>
        <w:autoSpaceDE/>
        <w:autoSpaceDN/>
        <w:adjustRightInd/>
        <w:textAlignment w:val="auto"/>
        <w:rPr>
          <w:rFonts w:eastAsia="Malgun Gothic"/>
          <w:color w:val="auto"/>
          <w:lang w:eastAsia="en-US"/>
        </w:rPr>
      </w:pPr>
      <w:r w:rsidRPr="007F70FE">
        <w:rPr>
          <w:rFonts w:eastAsia="Malgun Gothic"/>
          <w:color w:val="auto"/>
          <w:lang w:eastAsia="en-US"/>
        </w:rPr>
        <w:t>Once step 4 is executed successfully, and the registration accepted, the UE, after optional NSSF interaction (not explicitly shown above), is provided an allowed NSSAI including the slices that were successfully authorised. SM procedures can take place in the authorised slices for the UE.</w:t>
      </w:r>
    </w:p>
    <w:p w14:paraId="4A1C09CB" w14:textId="77777777" w:rsidR="007F70FE" w:rsidRPr="007F70FE" w:rsidRDefault="007F70FE" w:rsidP="007F70FE">
      <w:pPr>
        <w:keepLines/>
        <w:overflowPunct/>
        <w:autoSpaceDE/>
        <w:autoSpaceDN/>
        <w:adjustRightInd/>
        <w:ind w:left="1135" w:hanging="851"/>
        <w:textAlignment w:val="auto"/>
        <w:rPr>
          <w:rFonts w:eastAsia="Malgun Gothic"/>
          <w:color w:val="auto"/>
          <w:lang w:eastAsia="x-none"/>
        </w:rPr>
      </w:pPr>
      <w:r w:rsidRPr="007F70FE">
        <w:rPr>
          <w:rFonts w:eastAsia="Malgun Gothic"/>
          <w:color w:val="auto"/>
          <w:lang w:eastAsia="x-none"/>
        </w:rPr>
        <w:t>NOTE:</w:t>
      </w:r>
      <w:r w:rsidRPr="007F70FE">
        <w:rPr>
          <w:rFonts w:eastAsia="Malgun Gothic"/>
          <w:color w:val="auto"/>
          <w:lang w:eastAsia="x-none"/>
        </w:rPr>
        <w:tab/>
        <w:t>A UE may gain access to a slice that needs Slice-Specific Secondary Authentication and Authorisation and not trigger any PDU session establishment (e.g. SMS only device) or require a PDU session only after SMS trigger after is assigned an Allowed NSSAI and is successfully registered.</w:t>
      </w:r>
    </w:p>
    <w:p w14:paraId="30B09B98" w14:textId="77777777" w:rsidR="007F70FE" w:rsidRPr="007F70FE" w:rsidRDefault="007F70FE" w:rsidP="007F70FE">
      <w:pPr>
        <w:overflowPunct/>
        <w:autoSpaceDE/>
        <w:autoSpaceDN/>
        <w:adjustRightInd/>
        <w:textAlignment w:val="auto"/>
        <w:rPr>
          <w:rFonts w:eastAsia="Malgun Gothic"/>
          <w:color w:val="auto"/>
          <w:lang w:eastAsia="en-US"/>
        </w:rPr>
      </w:pPr>
      <w:r w:rsidRPr="007F70FE">
        <w:rPr>
          <w:rFonts w:eastAsia="Malgun Gothic"/>
          <w:color w:val="auto"/>
          <w:lang w:eastAsia="en-US"/>
        </w:rPr>
        <w:t>6.3.2.3</w:t>
      </w:r>
      <w:r w:rsidRPr="007F70FE">
        <w:rPr>
          <w:rFonts w:eastAsia="Malgun Gothic"/>
          <w:color w:val="auto"/>
          <w:lang w:eastAsia="en-US"/>
        </w:rPr>
        <w:tab/>
        <w:t>Procedures</w:t>
      </w:r>
    </w:p>
    <w:p w14:paraId="024DF0D0" w14:textId="77777777" w:rsidR="007F70FE" w:rsidRPr="007F70FE" w:rsidRDefault="007F70FE" w:rsidP="007F70FE">
      <w:pPr>
        <w:overflowPunct/>
        <w:autoSpaceDE/>
        <w:autoSpaceDN/>
        <w:adjustRightInd/>
        <w:textAlignment w:val="auto"/>
        <w:rPr>
          <w:rFonts w:eastAsia="Malgun Gothic"/>
          <w:color w:val="auto"/>
          <w:lang w:eastAsia="en-US"/>
        </w:rPr>
      </w:pPr>
      <w:r w:rsidRPr="007F70FE">
        <w:rPr>
          <w:rFonts w:eastAsia="Malgun Gothic"/>
          <w:color w:val="auto"/>
          <w:lang w:eastAsia="en-US"/>
        </w:rPr>
        <w:t>During the registration procedure, before step 15 occurs, in figure 6.3.2.3-1, the AMF knows whether some S-NSSAIs require Slice-Specific Secondary Authentication and Authorisation based on information from the UDM.</w:t>
      </w:r>
    </w:p>
    <w:bookmarkStart w:id="6" w:name="_MON_1590318004"/>
    <w:bookmarkEnd w:id="6"/>
    <w:p w14:paraId="031BFFD5" w14:textId="77777777" w:rsidR="007F70FE" w:rsidRPr="007F70FE" w:rsidRDefault="007F70FE" w:rsidP="007F70FE">
      <w:pPr>
        <w:keepNext/>
        <w:keepLines/>
        <w:overflowPunct/>
        <w:autoSpaceDE/>
        <w:autoSpaceDN/>
        <w:adjustRightInd/>
        <w:spacing w:before="60"/>
        <w:jc w:val="center"/>
        <w:textAlignment w:val="auto"/>
        <w:rPr>
          <w:rFonts w:ascii="Arial" w:eastAsia="Malgun Gothic" w:hAnsi="Arial"/>
          <w:b/>
          <w:color w:val="auto"/>
          <w:lang w:eastAsia="x-none"/>
        </w:rPr>
      </w:pPr>
      <w:r w:rsidRPr="007F70FE">
        <w:rPr>
          <w:rFonts w:ascii="Arial" w:eastAsia="Malgun Gothic" w:hAnsi="Arial"/>
          <w:b/>
          <w:color w:val="auto"/>
          <w:lang w:eastAsia="x-none"/>
        </w:rPr>
        <w:object w:dxaOrig="9045" w:dyaOrig="12401" w14:anchorId="46B1C926">
          <v:shape id="_x0000_i1026" type="#_x0000_t75" style="width:400.5pt;height:619.5pt" o:ole="">
            <v:imagedata r:id="rId10" o:title=""/>
          </v:shape>
          <o:OLEObject Type="Embed" ProgID="Word.Picture.8" ShapeID="_x0000_i1026" DrawAspect="Content" ObjectID="_1600593842" r:id="rId11"/>
        </w:object>
      </w:r>
    </w:p>
    <w:p w14:paraId="64323E8F" w14:textId="77777777" w:rsidR="007F70FE" w:rsidRPr="007F70FE" w:rsidRDefault="007F70FE" w:rsidP="007F70FE">
      <w:pPr>
        <w:keepLines/>
        <w:overflowPunct/>
        <w:autoSpaceDE/>
        <w:autoSpaceDN/>
        <w:adjustRightInd/>
        <w:spacing w:after="240"/>
        <w:jc w:val="center"/>
        <w:textAlignment w:val="auto"/>
        <w:rPr>
          <w:rFonts w:ascii="Arial" w:eastAsia="Malgun Gothic" w:hAnsi="Arial"/>
          <w:b/>
          <w:color w:val="auto"/>
          <w:lang w:eastAsia="x-none"/>
        </w:rPr>
      </w:pPr>
      <w:r w:rsidRPr="007F70FE">
        <w:rPr>
          <w:rFonts w:ascii="Arial" w:eastAsia="Malgun Gothic" w:hAnsi="Arial"/>
          <w:b/>
          <w:color w:val="auto"/>
          <w:lang w:eastAsia="x-none"/>
        </w:rPr>
        <w:t>Figure 6.3.2.3-1: TS 23.502 [3] Figure 4.2.2.2.2-1: Registration procedure</w:t>
      </w:r>
    </w:p>
    <w:p w14:paraId="7696DCEB" w14:textId="77777777" w:rsidR="007F70FE" w:rsidRPr="007F70FE" w:rsidRDefault="007F70FE" w:rsidP="007F70FE">
      <w:pPr>
        <w:overflowPunct/>
        <w:autoSpaceDE/>
        <w:autoSpaceDN/>
        <w:adjustRightInd/>
        <w:textAlignment w:val="auto"/>
        <w:rPr>
          <w:rFonts w:eastAsia="Malgun Gothic"/>
          <w:color w:val="auto"/>
          <w:lang w:eastAsia="en-US"/>
        </w:rPr>
      </w:pPr>
      <w:r w:rsidRPr="007F70FE">
        <w:rPr>
          <w:rFonts w:eastAsia="Malgun Gothic"/>
          <w:color w:val="auto"/>
          <w:lang w:eastAsia="en-US"/>
        </w:rPr>
        <w:t>If the AMF detects the need to execute the Slice-Specific Secondary Authentication and Authorisation, the steps marked as "2" in Figure 6.3.2.3-2 are executed. In the event the Allowed NSSAI needs to be computed and potential new AMF determined by a NSSF, then these Authentication and Authorization steps are executed upfront so that the NSSF receives from the AMF only the authorized by Slice-Specific Secondary Authentication and Authorisation and subscribed-to slices.</w:t>
      </w:r>
    </w:p>
    <w:p w14:paraId="14A607EE" w14:textId="6756277F" w:rsidR="007F70FE" w:rsidRDefault="008A4045" w:rsidP="007F70FE">
      <w:pPr>
        <w:keepNext/>
        <w:keepLines/>
        <w:overflowPunct/>
        <w:autoSpaceDE/>
        <w:autoSpaceDN/>
        <w:adjustRightInd/>
        <w:spacing w:before="60"/>
        <w:jc w:val="center"/>
        <w:textAlignment w:val="auto"/>
        <w:rPr>
          <w:ins w:id="7" w:author="NOKIA revision1" w:date="2018-10-09T11:36:00Z"/>
          <w:rFonts w:ascii="Arial" w:eastAsia="Malgun Gothic" w:hAnsi="Arial"/>
          <w:b/>
          <w:color w:val="auto"/>
          <w:lang w:eastAsia="x-none"/>
        </w:rPr>
      </w:pPr>
      <w:del w:id="8" w:author="NOKIA revision1" w:date="2018-10-09T11:36:00Z">
        <w:r w:rsidRPr="007F70FE" w:rsidDel="008A4045">
          <w:rPr>
            <w:rFonts w:ascii="Arial" w:eastAsia="Malgun Gothic" w:hAnsi="Arial"/>
            <w:b/>
            <w:color w:val="auto"/>
            <w:lang w:eastAsia="x-none"/>
          </w:rPr>
          <w:object w:dxaOrig="14180" w:dyaOrig="11150" w14:anchorId="2D7EA2B4">
            <v:shape id="_x0000_i1027" type="#_x0000_t75" style="width:480pt;height:376.5pt" o:ole="">
              <v:imagedata r:id="rId12" o:title=""/>
            </v:shape>
            <o:OLEObject Type="Embed" ProgID="Visio.Drawing.11" ShapeID="_x0000_i1027" DrawAspect="Content" ObjectID="_1600593843" r:id="rId13"/>
          </w:object>
        </w:r>
      </w:del>
    </w:p>
    <w:p w14:paraId="6F36143E" w14:textId="15856ACB" w:rsidR="008A4045" w:rsidRPr="007F70FE" w:rsidRDefault="008A4045" w:rsidP="007F70FE">
      <w:pPr>
        <w:keepNext/>
        <w:keepLines/>
        <w:overflowPunct/>
        <w:autoSpaceDE/>
        <w:autoSpaceDN/>
        <w:adjustRightInd/>
        <w:spacing w:before="60"/>
        <w:jc w:val="center"/>
        <w:textAlignment w:val="auto"/>
        <w:rPr>
          <w:rFonts w:ascii="Arial" w:eastAsia="Malgun Gothic" w:hAnsi="Arial"/>
          <w:b/>
          <w:color w:val="auto"/>
          <w:lang w:eastAsia="x-none"/>
        </w:rPr>
      </w:pPr>
      <w:ins w:id="9" w:author="NOKIA revision1" w:date="2018-10-09T11:36:00Z">
        <w:r w:rsidRPr="007F70FE">
          <w:rPr>
            <w:rFonts w:ascii="Arial" w:eastAsia="Malgun Gothic" w:hAnsi="Arial"/>
            <w:b/>
            <w:color w:val="auto"/>
            <w:lang w:eastAsia="x-none"/>
          </w:rPr>
          <w:object w:dxaOrig="14180" w:dyaOrig="11150" w14:anchorId="08B377F4">
            <v:shape id="_x0000_i1028" type="#_x0000_t75" style="width:480pt;height:376.5pt" o:ole="">
              <v:imagedata r:id="rId14" o:title=""/>
            </v:shape>
            <o:OLEObject Type="Embed" ProgID="Visio.Drawing.11" ShapeID="_x0000_i1028" DrawAspect="Content" ObjectID="_1600593844" r:id="rId15"/>
          </w:object>
        </w:r>
      </w:ins>
    </w:p>
    <w:p w14:paraId="408ADFF2" w14:textId="77777777" w:rsidR="007F70FE" w:rsidRPr="007F70FE" w:rsidRDefault="007F70FE" w:rsidP="007F70FE">
      <w:pPr>
        <w:keepLines/>
        <w:overflowPunct/>
        <w:autoSpaceDE/>
        <w:autoSpaceDN/>
        <w:adjustRightInd/>
        <w:spacing w:after="240"/>
        <w:jc w:val="center"/>
        <w:textAlignment w:val="auto"/>
        <w:rPr>
          <w:rFonts w:ascii="Arial" w:eastAsia="Malgun Gothic" w:hAnsi="Arial"/>
          <w:b/>
          <w:color w:val="auto"/>
          <w:lang w:eastAsia="x-none"/>
        </w:rPr>
      </w:pPr>
      <w:r w:rsidRPr="007F70FE">
        <w:rPr>
          <w:rFonts w:ascii="Arial" w:eastAsia="Malgun Gothic" w:hAnsi="Arial"/>
          <w:b/>
          <w:color w:val="auto"/>
          <w:lang w:eastAsia="x-none"/>
        </w:rPr>
        <w:t xml:space="preserve">Figure 6.3.2.3-2: </w:t>
      </w:r>
      <w:r w:rsidRPr="007F70FE">
        <w:rPr>
          <w:rFonts w:ascii="Arial" w:eastAsia="Malgun Gothic" w:hAnsi="Arial"/>
          <w:b/>
          <w:color w:val="auto"/>
          <w:lang w:eastAsia="ko-KR"/>
        </w:rPr>
        <w:t>Registration with third party Authentication and Authorisation</w:t>
      </w:r>
    </w:p>
    <w:p w14:paraId="2ABE2061" w14:textId="77777777" w:rsidR="007F70FE" w:rsidRPr="007F70FE" w:rsidRDefault="007F70FE" w:rsidP="007F70FE">
      <w:pPr>
        <w:overflowPunct/>
        <w:autoSpaceDE/>
        <w:autoSpaceDN/>
        <w:adjustRightInd/>
        <w:ind w:left="568" w:hanging="284"/>
        <w:textAlignment w:val="auto"/>
        <w:rPr>
          <w:rFonts w:eastAsia="Malgun Gothic"/>
          <w:color w:val="auto"/>
          <w:lang w:eastAsia="x-none"/>
        </w:rPr>
      </w:pPr>
      <w:r w:rsidRPr="007F70FE">
        <w:rPr>
          <w:rFonts w:eastAsia="Malgun Gothic"/>
          <w:color w:val="auto"/>
          <w:lang w:eastAsia="x-none"/>
        </w:rPr>
        <w:t>1.</w:t>
      </w:r>
      <w:r w:rsidRPr="007F70FE">
        <w:rPr>
          <w:rFonts w:eastAsia="Malgun Gothic"/>
          <w:color w:val="auto"/>
          <w:lang w:eastAsia="x-none"/>
        </w:rPr>
        <w:tab/>
        <w:t>Steps 1-14 of the Registration procedure. Steps 2 are not executed if no S-NSSAI in the UE subscription is requiring Slice-Specific Secondary Authentication and Authorization</w:t>
      </w:r>
    </w:p>
    <w:p w14:paraId="5AECFE6E" w14:textId="1C80A164" w:rsidR="007F70FE" w:rsidRPr="007F70FE" w:rsidRDefault="007F70FE" w:rsidP="007F70FE">
      <w:pPr>
        <w:overflowPunct/>
        <w:autoSpaceDE/>
        <w:autoSpaceDN/>
        <w:adjustRightInd/>
        <w:ind w:left="568" w:hanging="284"/>
        <w:textAlignment w:val="auto"/>
        <w:rPr>
          <w:rFonts w:eastAsia="Malgun Gothic"/>
          <w:color w:val="auto"/>
          <w:lang w:eastAsia="x-none"/>
        </w:rPr>
      </w:pPr>
      <w:r w:rsidRPr="007F70FE">
        <w:rPr>
          <w:rFonts w:eastAsia="Malgun Gothic"/>
          <w:color w:val="auto"/>
          <w:lang w:eastAsia="x-none"/>
        </w:rPr>
        <w:t>2a.</w:t>
      </w:r>
      <w:r w:rsidRPr="007F70FE">
        <w:rPr>
          <w:rFonts w:eastAsia="Malgun Gothic"/>
          <w:color w:val="auto"/>
          <w:lang w:eastAsia="x-none"/>
        </w:rPr>
        <w:tab/>
        <w:t>[Conditional] The AMF requests the UE User ID for the S-NSSAI. The NAS message includes the S-NSSAI value so the right Network Slice authentication is executed and so the related User ID and credentials are used by the UE.</w:t>
      </w:r>
      <w:ins w:id="10" w:author="NOKIA revision1" w:date="2018-10-09T11:24:00Z">
        <w:r w:rsidR="000B0802">
          <w:rPr>
            <w:rFonts w:eastAsia="Malgun Gothic"/>
            <w:color w:val="auto"/>
            <w:lang w:eastAsia="x-none"/>
          </w:rPr>
          <w:t xml:space="preserve"> The AMF may start in parallel several such authentication and Authorisations procedures</w:t>
        </w:r>
      </w:ins>
      <w:ins w:id="11" w:author="NOKIA revision1" w:date="2018-10-09T11:25:00Z">
        <w:r w:rsidR="000B0802">
          <w:rPr>
            <w:rFonts w:eastAsia="Malgun Gothic"/>
            <w:color w:val="auto"/>
            <w:lang w:eastAsia="x-none"/>
          </w:rPr>
          <w:t xml:space="preserve"> if more than one S-NSSAI is subject to Secondary Slice-Specific Authentication and Authorisation.</w:t>
        </w:r>
      </w:ins>
    </w:p>
    <w:p w14:paraId="50E9AFF4" w14:textId="77777777" w:rsidR="007F70FE" w:rsidRPr="007F70FE" w:rsidRDefault="007F70FE" w:rsidP="007F70FE">
      <w:pPr>
        <w:overflowPunct/>
        <w:autoSpaceDE/>
        <w:autoSpaceDN/>
        <w:adjustRightInd/>
        <w:ind w:left="568" w:hanging="284"/>
        <w:textAlignment w:val="auto"/>
        <w:rPr>
          <w:rFonts w:eastAsia="Malgun Gothic"/>
          <w:color w:val="auto"/>
          <w:lang w:eastAsia="x-none"/>
        </w:rPr>
      </w:pPr>
      <w:r w:rsidRPr="007F70FE">
        <w:rPr>
          <w:rFonts w:eastAsia="Malgun Gothic"/>
          <w:color w:val="auto"/>
          <w:lang w:eastAsia="x-none"/>
        </w:rPr>
        <w:t>2b.</w:t>
      </w:r>
      <w:r w:rsidRPr="007F70FE">
        <w:rPr>
          <w:rFonts w:eastAsia="Malgun Gothic"/>
          <w:color w:val="auto"/>
          <w:lang w:eastAsia="x-none"/>
        </w:rPr>
        <w:tab/>
        <w:t>[Conditional] The UE provides the User ID for the S-NSSAI alongside the S-NSSAI</w:t>
      </w:r>
    </w:p>
    <w:p w14:paraId="3010165B" w14:textId="7ACA3255" w:rsidR="007F70FE" w:rsidRPr="007F70FE" w:rsidRDefault="007F70FE" w:rsidP="007F70FE">
      <w:pPr>
        <w:overflowPunct/>
        <w:autoSpaceDE/>
        <w:autoSpaceDN/>
        <w:adjustRightInd/>
        <w:ind w:left="568" w:hanging="284"/>
        <w:textAlignment w:val="auto"/>
        <w:rPr>
          <w:rFonts w:eastAsia="Malgun Gothic"/>
          <w:color w:val="auto"/>
          <w:lang w:eastAsia="x-none"/>
        </w:rPr>
      </w:pPr>
      <w:r w:rsidRPr="007F70FE">
        <w:rPr>
          <w:rFonts w:eastAsia="Malgun Gothic"/>
          <w:color w:val="auto"/>
          <w:lang w:eastAsia="x-none"/>
        </w:rPr>
        <w:t>2c-2d.</w:t>
      </w:r>
      <w:r w:rsidRPr="007F70FE">
        <w:rPr>
          <w:rFonts w:eastAsia="Malgun Gothic"/>
          <w:color w:val="auto"/>
          <w:lang w:eastAsia="x-none"/>
        </w:rPr>
        <w:tab/>
        <w:t xml:space="preserve">[Conditional] The AMF contacts the AAA Server via AAA-F. It includes also the </w:t>
      </w:r>
      <w:ins w:id="12" w:author="NOKIA revision1" w:date="2018-10-09T11:37:00Z">
        <w:r w:rsidR="008A4045">
          <w:rPr>
            <w:rFonts w:eastAsia="Malgun Gothic"/>
            <w:color w:val="auto"/>
            <w:lang w:eastAsia="x-none"/>
          </w:rPr>
          <w:t xml:space="preserve">S-NSSAI and the </w:t>
        </w:r>
      </w:ins>
      <w:r w:rsidRPr="007F70FE">
        <w:rPr>
          <w:rFonts w:eastAsia="Malgun Gothic"/>
          <w:color w:val="auto"/>
          <w:lang w:eastAsia="x-none"/>
        </w:rPr>
        <w:t xml:space="preserve">UE GPSI for binding of Network Slice User ID to the UE GPSI (so the AAA Server </w:t>
      </w:r>
      <w:proofErr w:type="gramStart"/>
      <w:r w:rsidRPr="007F70FE">
        <w:rPr>
          <w:rFonts w:eastAsia="Malgun Gothic"/>
          <w:color w:val="auto"/>
          <w:lang w:eastAsia="x-none"/>
        </w:rPr>
        <w:t>is allowed to</w:t>
      </w:r>
      <w:proofErr w:type="gramEnd"/>
      <w:r w:rsidRPr="007F70FE">
        <w:rPr>
          <w:rFonts w:eastAsia="Malgun Gothic"/>
          <w:color w:val="auto"/>
          <w:lang w:eastAsia="x-none"/>
        </w:rPr>
        <w:t xml:space="preserve"> contact the UE for further reauthentication based on its policy, or to revoke the UE authorisation, or to optimise future Authorisations based on the AAA server trusting the GPSI presented by the PLMN. If the AAA Server trusts the GPSI provided, by the PLMN, and it had if it had a previous mapping of the GPSI to the User ID, the AAA Server may go directly to step 2k.</w:t>
      </w:r>
    </w:p>
    <w:p w14:paraId="74367E6B" w14:textId="77777777" w:rsidR="007F70FE" w:rsidRPr="007F70FE" w:rsidRDefault="007F70FE" w:rsidP="007F70FE">
      <w:pPr>
        <w:overflowPunct/>
        <w:autoSpaceDE/>
        <w:autoSpaceDN/>
        <w:adjustRightInd/>
        <w:ind w:left="568" w:hanging="284"/>
        <w:textAlignment w:val="auto"/>
        <w:rPr>
          <w:rFonts w:eastAsia="Malgun Gothic"/>
          <w:color w:val="auto"/>
          <w:lang w:eastAsia="x-none"/>
        </w:rPr>
      </w:pPr>
      <w:r w:rsidRPr="007F70FE">
        <w:rPr>
          <w:rFonts w:eastAsia="Malgun Gothic"/>
          <w:color w:val="auto"/>
          <w:lang w:eastAsia="x-none"/>
        </w:rPr>
        <w:t>2e-2j.</w:t>
      </w:r>
      <w:r w:rsidRPr="007F70FE">
        <w:rPr>
          <w:rFonts w:eastAsia="Malgun Gothic"/>
          <w:color w:val="auto"/>
          <w:lang w:eastAsia="x-none"/>
        </w:rPr>
        <w:tab/>
        <w:t>[Conditional] The UE EAP based authentication happens. The number of steps is indicative, more may occur.</w:t>
      </w:r>
    </w:p>
    <w:p w14:paraId="699CB525" w14:textId="75419AD9" w:rsidR="007F70FE" w:rsidRPr="007F70FE" w:rsidRDefault="007F70FE" w:rsidP="007F70FE">
      <w:pPr>
        <w:overflowPunct/>
        <w:autoSpaceDE/>
        <w:autoSpaceDN/>
        <w:adjustRightInd/>
        <w:ind w:left="568" w:hanging="284"/>
        <w:textAlignment w:val="auto"/>
        <w:rPr>
          <w:rFonts w:eastAsia="Malgun Gothic"/>
          <w:color w:val="auto"/>
          <w:lang w:eastAsia="x-none"/>
        </w:rPr>
      </w:pPr>
      <w:r w:rsidRPr="007F70FE">
        <w:rPr>
          <w:rFonts w:eastAsia="Malgun Gothic"/>
          <w:color w:val="auto"/>
          <w:lang w:eastAsia="x-none"/>
        </w:rPr>
        <w:t>2k-2m.</w:t>
      </w:r>
      <w:r w:rsidRPr="007F70FE">
        <w:rPr>
          <w:rFonts w:eastAsia="Malgun Gothic"/>
          <w:color w:val="auto"/>
          <w:lang w:eastAsia="x-none"/>
        </w:rPr>
        <w:tab/>
        <w:t>[Conditional] The EAP authentication completes successfully. Optionally, in steps 2k and 2l the AAA Server and the AAA-F convey to the AMF a list of S-NSSAIs the successful Authentication and Authorisation applies to, so the AMF can avoid executing multiple Authentications and Authorisations towards the same AAA Server for the same User ID for the S-NSSAIs in the list.</w:t>
      </w:r>
      <w:ins w:id="13" w:author="NOKIA revision1" w:date="2018-10-09T11:38:00Z">
        <w:r w:rsidR="008A4045">
          <w:rPr>
            <w:rFonts w:eastAsia="Malgun Gothic"/>
            <w:color w:val="auto"/>
            <w:lang w:eastAsia="x-none"/>
          </w:rPr>
          <w:t xml:space="preserve"> This option should not be used if the AAA-s intends to collect accounting information for S-NSSAI usage by the UE</w:t>
        </w:r>
      </w:ins>
      <w:ins w:id="14" w:author="NOKIA revision1" w:date="2018-10-09T11:39:00Z">
        <w:r w:rsidR="008A4045">
          <w:rPr>
            <w:rFonts w:eastAsia="Malgun Gothic"/>
            <w:color w:val="auto"/>
            <w:lang w:eastAsia="x-none"/>
          </w:rPr>
          <w:t>.</w:t>
        </w:r>
      </w:ins>
    </w:p>
    <w:p w14:paraId="3BDE4A65" w14:textId="77777777" w:rsidR="007F70FE" w:rsidRPr="007F70FE" w:rsidRDefault="007F70FE" w:rsidP="007F70FE">
      <w:pPr>
        <w:overflowPunct/>
        <w:autoSpaceDE/>
        <w:autoSpaceDN/>
        <w:adjustRightInd/>
        <w:ind w:left="568" w:hanging="284"/>
        <w:textAlignment w:val="auto"/>
        <w:rPr>
          <w:rFonts w:eastAsia="Malgun Gothic"/>
          <w:color w:val="auto"/>
          <w:lang w:eastAsia="x-none"/>
        </w:rPr>
      </w:pPr>
      <w:r w:rsidRPr="007F70FE">
        <w:rPr>
          <w:rFonts w:eastAsia="Malgun Gothic"/>
          <w:color w:val="auto"/>
          <w:lang w:eastAsia="x-none"/>
        </w:rPr>
        <w:lastRenderedPageBreak/>
        <w:t>3.</w:t>
      </w:r>
      <w:r w:rsidRPr="007F70FE">
        <w:rPr>
          <w:rFonts w:eastAsia="Malgun Gothic"/>
          <w:color w:val="auto"/>
          <w:lang w:eastAsia="x-none"/>
        </w:rPr>
        <w:tab/>
        <w:t>The AMF stores in the UE context the outcome of steps 2 and if a list of S-NSSAIs was provided sharing the same User ID, then the AMF stores that also. The AMF can now determine, assisted by NSSF if needed, the Allowed NSSAI and this may trigger selection of another AMF.</w:t>
      </w:r>
    </w:p>
    <w:p w14:paraId="59D8EB7E" w14:textId="77777777" w:rsidR="007F70FE" w:rsidRPr="007F70FE" w:rsidRDefault="007F70FE" w:rsidP="007F70FE">
      <w:pPr>
        <w:overflowPunct/>
        <w:autoSpaceDE/>
        <w:autoSpaceDN/>
        <w:adjustRightInd/>
        <w:ind w:left="568" w:hanging="284"/>
        <w:textAlignment w:val="auto"/>
        <w:rPr>
          <w:rFonts w:eastAsia="Malgun Gothic"/>
          <w:color w:val="auto"/>
          <w:lang w:eastAsia="x-none"/>
        </w:rPr>
      </w:pPr>
      <w:r w:rsidRPr="007F70FE">
        <w:rPr>
          <w:rFonts w:eastAsia="Malgun Gothic"/>
          <w:color w:val="auto"/>
          <w:lang w:eastAsia="x-none"/>
        </w:rPr>
        <w:t>4.</w:t>
      </w:r>
      <w:r w:rsidRPr="007F70FE">
        <w:rPr>
          <w:rFonts w:eastAsia="Malgun Gothic"/>
          <w:color w:val="auto"/>
          <w:lang w:eastAsia="x-none"/>
        </w:rPr>
        <w:tab/>
        <w:t>The registration completes, and eventually a Registration Accept is sent to the UE including the Allowed NSSAI and the GUTI allocated by the target AMF if the AMF is relocated in step 3.</w:t>
      </w:r>
    </w:p>
    <w:p w14:paraId="71CF22B4" w14:textId="7F08D560" w:rsidR="007F70FE" w:rsidRPr="007F70FE" w:rsidDel="000B0802" w:rsidRDefault="007F70FE" w:rsidP="007F70FE">
      <w:pPr>
        <w:keepLines/>
        <w:overflowPunct/>
        <w:autoSpaceDE/>
        <w:autoSpaceDN/>
        <w:adjustRightInd/>
        <w:ind w:left="1560" w:hanging="1276"/>
        <w:textAlignment w:val="auto"/>
        <w:rPr>
          <w:del w:id="15" w:author="NOKIA revision1" w:date="2018-10-09T11:30:00Z"/>
          <w:rFonts w:eastAsia="Malgun Gothic"/>
          <w:color w:val="FF0000"/>
          <w:lang w:val="x-none" w:eastAsia="en-US"/>
        </w:rPr>
      </w:pPr>
      <w:del w:id="16" w:author="NOKIA revision1" w:date="2018-10-09T11:30:00Z">
        <w:r w:rsidRPr="007F70FE" w:rsidDel="000B0802">
          <w:rPr>
            <w:rFonts w:eastAsia="Malgun Gothic"/>
            <w:color w:val="FF0000"/>
            <w:lang w:val="x-none" w:eastAsia="en-US"/>
          </w:rPr>
          <w:delText>Editor's note:</w:delText>
        </w:r>
        <w:r w:rsidRPr="007F70FE" w:rsidDel="000B0802">
          <w:rPr>
            <w:rFonts w:eastAsia="Times New Roman"/>
            <w:color w:val="FF0000"/>
            <w:lang w:eastAsia="en-US"/>
          </w:rPr>
          <w:tab/>
          <w:delText>I</w:delText>
        </w:r>
        <w:r w:rsidRPr="007F70FE" w:rsidDel="000B0802">
          <w:rPr>
            <w:rFonts w:eastAsia="Times New Roman"/>
            <w:color w:val="FF0000"/>
            <w:lang w:val="x-none" w:eastAsia="en-US"/>
          </w:rPr>
          <w:delText>t is FFS whether the steps 2 can be executed in parallel for different User IDs for different slices.</w:delText>
        </w:r>
      </w:del>
    </w:p>
    <w:p w14:paraId="32733CBE" w14:textId="77777777" w:rsidR="007F70FE" w:rsidRPr="007F70FE" w:rsidRDefault="007F70FE" w:rsidP="007F70FE">
      <w:pPr>
        <w:keepNext/>
        <w:keepLines/>
        <w:spacing w:before="120"/>
        <w:ind w:left="1418" w:hanging="1418"/>
        <w:outlineLvl w:val="3"/>
        <w:rPr>
          <w:rFonts w:ascii="Arial" w:eastAsia="Times New Roman" w:hAnsi="Arial"/>
          <w:color w:val="auto"/>
          <w:sz w:val="24"/>
          <w:lang w:val="x-none"/>
        </w:rPr>
      </w:pPr>
      <w:bookmarkStart w:id="17" w:name="_Toc523908555"/>
      <w:r w:rsidRPr="007F70FE">
        <w:rPr>
          <w:rFonts w:ascii="Arial" w:eastAsia="Times New Roman" w:hAnsi="Arial"/>
          <w:color w:val="auto"/>
          <w:sz w:val="24"/>
          <w:lang w:val="x-none"/>
        </w:rPr>
        <w:t>6.3.2.4</w:t>
      </w:r>
      <w:r w:rsidRPr="007F70FE">
        <w:rPr>
          <w:rFonts w:ascii="Arial" w:eastAsia="Times New Roman" w:hAnsi="Arial"/>
          <w:color w:val="auto"/>
          <w:sz w:val="24"/>
          <w:lang w:val="x-none"/>
        </w:rPr>
        <w:tab/>
        <w:t>Impacts on existing entities and interfaces</w:t>
      </w:r>
      <w:bookmarkEnd w:id="17"/>
    </w:p>
    <w:p w14:paraId="09EE077D" w14:textId="77777777" w:rsidR="007F70FE" w:rsidRPr="007F70FE" w:rsidRDefault="007F70FE" w:rsidP="007F70FE">
      <w:pPr>
        <w:overflowPunct/>
        <w:autoSpaceDE/>
        <w:autoSpaceDN/>
        <w:adjustRightInd/>
        <w:textAlignment w:val="auto"/>
        <w:rPr>
          <w:rFonts w:eastAsia="Malgun Gothic"/>
          <w:color w:val="auto"/>
          <w:lang w:eastAsia="en-US"/>
        </w:rPr>
      </w:pPr>
      <w:r w:rsidRPr="007F70FE">
        <w:rPr>
          <w:rFonts w:eastAsia="Malgun Gothic"/>
          <w:color w:val="auto"/>
          <w:lang w:eastAsia="en-US"/>
        </w:rPr>
        <w:t>Impacted functions:</w:t>
      </w:r>
    </w:p>
    <w:p w14:paraId="0BA1FE4F" w14:textId="77777777" w:rsidR="007F70FE" w:rsidRPr="007F70FE" w:rsidRDefault="007F70FE" w:rsidP="007F70FE">
      <w:pPr>
        <w:overflowPunct/>
        <w:autoSpaceDE/>
        <w:autoSpaceDN/>
        <w:adjustRightInd/>
        <w:ind w:left="568" w:hanging="284"/>
        <w:textAlignment w:val="auto"/>
        <w:rPr>
          <w:rFonts w:eastAsia="Malgun Gothic"/>
          <w:color w:val="auto"/>
          <w:lang w:eastAsia="x-none"/>
        </w:rPr>
      </w:pPr>
      <w:r w:rsidRPr="007F70FE">
        <w:rPr>
          <w:rFonts w:eastAsia="Malgun Gothic"/>
          <w:color w:val="auto"/>
          <w:lang w:eastAsia="x-none"/>
        </w:rPr>
        <w:tab/>
        <w:t>UE: to be able to participate in Slice-Specific Secondary Authentication and Authorisation per S-NSSAI.</w:t>
      </w:r>
    </w:p>
    <w:p w14:paraId="60A5E381" w14:textId="77777777" w:rsidR="007F70FE" w:rsidRPr="007F70FE" w:rsidRDefault="007F70FE" w:rsidP="007F70FE">
      <w:pPr>
        <w:overflowPunct/>
        <w:autoSpaceDE/>
        <w:autoSpaceDN/>
        <w:adjustRightInd/>
        <w:ind w:left="568" w:hanging="284"/>
        <w:textAlignment w:val="auto"/>
        <w:rPr>
          <w:rFonts w:eastAsia="Malgun Gothic"/>
          <w:color w:val="auto"/>
          <w:lang w:eastAsia="x-none"/>
        </w:rPr>
      </w:pPr>
      <w:r w:rsidRPr="007F70FE">
        <w:rPr>
          <w:rFonts w:eastAsia="Malgun Gothic"/>
          <w:color w:val="auto"/>
          <w:lang w:eastAsia="x-none"/>
        </w:rPr>
        <w:tab/>
        <w:t>AMF: triggering of Secondary Authentication and Authorisation per slice and ability to store outcome and any list of S-NSSAIs sharing the same authorised User ID. The Change of AMF happens to match the allowed NSSAI may happen after evaluation of the Secondary Authorisation Status. This happens after the UE is detected to be authorised for 3GPP access in the source AMF.</w:t>
      </w:r>
    </w:p>
    <w:p w14:paraId="5715BEA7" w14:textId="77777777" w:rsidR="007F70FE" w:rsidRPr="007F70FE" w:rsidRDefault="007F70FE" w:rsidP="007F70FE">
      <w:pPr>
        <w:overflowPunct/>
        <w:autoSpaceDE/>
        <w:autoSpaceDN/>
        <w:adjustRightInd/>
        <w:ind w:left="568" w:hanging="284"/>
        <w:textAlignment w:val="auto"/>
        <w:rPr>
          <w:rFonts w:eastAsia="Malgun Gothic"/>
          <w:color w:val="auto"/>
          <w:lang w:eastAsia="x-none"/>
        </w:rPr>
      </w:pPr>
      <w:r w:rsidRPr="007F70FE">
        <w:rPr>
          <w:rFonts w:eastAsia="Malgun Gothic"/>
          <w:color w:val="auto"/>
          <w:lang w:eastAsia="x-none"/>
        </w:rPr>
        <w:tab/>
        <w:t>UDM: Slice-Specific Support of Secondary Authentication info.</w:t>
      </w:r>
    </w:p>
    <w:p w14:paraId="783FF0FE" w14:textId="77777777" w:rsidR="007F70FE" w:rsidRPr="007F70FE" w:rsidRDefault="007F70FE" w:rsidP="007F70FE">
      <w:pPr>
        <w:keepNext/>
        <w:keepLines/>
        <w:spacing w:before="120"/>
        <w:ind w:left="1418" w:hanging="1418"/>
        <w:outlineLvl w:val="3"/>
        <w:rPr>
          <w:rFonts w:ascii="Arial" w:eastAsia="Times New Roman" w:hAnsi="Arial"/>
          <w:color w:val="auto"/>
          <w:sz w:val="24"/>
          <w:lang w:val="x-none"/>
        </w:rPr>
      </w:pPr>
      <w:bookmarkStart w:id="18" w:name="_Toc523908556"/>
      <w:r w:rsidRPr="007F70FE">
        <w:rPr>
          <w:rFonts w:ascii="Arial" w:eastAsia="Times New Roman" w:hAnsi="Arial"/>
          <w:color w:val="auto"/>
          <w:sz w:val="24"/>
          <w:lang w:val="x-none"/>
        </w:rPr>
        <w:t>6.3.2.5</w:t>
      </w:r>
      <w:r w:rsidRPr="007F70FE">
        <w:rPr>
          <w:rFonts w:ascii="Arial" w:eastAsia="Times New Roman" w:hAnsi="Arial"/>
          <w:color w:val="auto"/>
          <w:sz w:val="24"/>
          <w:lang w:val="x-none"/>
        </w:rPr>
        <w:tab/>
        <w:t>Evaluation</w:t>
      </w:r>
      <w:bookmarkEnd w:id="18"/>
    </w:p>
    <w:p w14:paraId="480D48CB" w14:textId="26DED052" w:rsidR="007F70FE" w:rsidRPr="007F70FE" w:rsidRDefault="007F70FE" w:rsidP="007F70FE">
      <w:pPr>
        <w:keepLines/>
        <w:overflowPunct/>
        <w:autoSpaceDE/>
        <w:autoSpaceDN/>
        <w:adjustRightInd/>
        <w:ind w:left="1560" w:hanging="1276"/>
        <w:textAlignment w:val="auto"/>
        <w:rPr>
          <w:rFonts w:eastAsia="Malgun Gothic"/>
          <w:color w:val="FF0000"/>
          <w:lang w:val="x-none" w:eastAsia="en-US"/>
        </w:rPr>
      </w:pPr>
      <w:r w:rsidRPr="007F70FE">
        <w:rPr>
          <w:rFonts w:eastAsia="Malgun Gothic"/>
          <w:color w:val="FF0000"/>
          <w:lang w:val="x-none" w:eastAsia="en-US"/>
        </w:rPr>
        <w:t>Editor's note:</w:t>
      </w:r>
      <w:r w:rsidRPr="007F70FE">
        <w:rPr>
          <w:rFonts w:eastAsia="Malgun Gothic"/>
          <w:color w:val="FF0000"/>
          <w:lang w:val="x-none" w:eastAsia="en-US"/>
        </w:rPr>
        <w:tab/>
        <w:t>This clause provides an evaluation of the solution.</w:t>
      </w:r>
    </w:p>
    <w:p w14:paraId="7A5699BB" w14:textId="19EB4A65" w:rsidR="00215FE1" w:rsidRDefault="00215FE1" w:rsidP="003F7D3C"/>
    <w:p w14:paraId="350111C1" w14:textId="77777777" w:rsidR="00215FE1" w:rsidRPr="003F7D3C" w:rsidRDefault="00215FE1"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13FD" w14:textId="77777777" w:rsidR="00BF3C11" w:rsidRDefault="00BF3C11">
      <w:r>
        <w:separator/>
      </w:r>
    </w:p>
    <w:p w14:paraId="15858C08" w14:textId="77777777" w:rsidR="00BF3C11" w:rsidRDefault="00BF3C11"/>
  </w:endnote>
  <w:endnote w:type="continuationSeparator" w:id="0">
    <w:p w14:paraId="7351C673" w14:textId="77777777" w:rsidR="00BF3C11" w:rsidRDefault="00BF3C11">
      <w:r>
        <w:continuationSeparator/>
      </w:r>
    </w:p>
    <w:p w14:paraId="23371E38" w14:textId="77777777" w:rsidR="00BF3C11" w:rsidRDefault="00BF3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045B" w14:textId="77777777" w:rsidR="00BF3C11" w:rsidRDefault="00BF3C11">
      <w:r>
        <w:separator/>
      </w:r>
    </w:p>
    <w:p w14:paraId="6877E009" w14:textId="77777777" w:rsidR="00BF3C11" w:rsidRDefault="00BF3C11"/>
  </w:footnote>
  <w:footnote w:type="continuationSeparator" w:id="0">
    <w:p w14:paraId="36916E10" w14:textId="77777777" w:rsidR="00BF3C11" w:rsidRDefault="00BF3C11">
      <w:r>
        <w:continuationSeparator/>
      </w:r>
    </w:p>
    <w:p w14:paraId="04382279" w14:textId="77777777" w:rsidR="00BF3C11" w:rsidRDefault="00BF3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37CE">
      <w:rPr>
        <w:rFonts w:ascii="Arial" w:hAnsi="Arial" w:cs="Arial"/>
        <w:b/>
        <w:bCs/>
        <w:noProof/>
        <w:sz w:val="18"/>
      </w:rPr>
      <w:t>3</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3"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2"/>
  </w:num>
  <w:num w:numId="5">
    <w:abstractNumId w:val="39"/>
  </w:num>
  <w:num w:numId="6">
    <w:abstractNumId w:val="19"/>
  </w:num>
  <w:num w:numId="7">
    <w:abstractNumId w:val="18"/>
  </w:num>
  <w:num w:numId="8">
    <w:abstractNumId w:val="31"/>
  </w:num>
  <w:num w:numId="9">
    <w:abstractNumId w:val="30"/>
  </w:num>
  <w:num w:numId="10">
    <w:abstractNumId w:val="21"/>
  </w:num>
  <w:num w:numId="11">
    <w:abstractNumId w:val="17"/>
  </w:num>
  <w:num w:numId="12">
    <w:abstractNumId w:val="44"/>
  </w:num>
  <w:num w:numId="13">
    <w:abstractNumId w:val="35"/>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7"/>
  </w:num>
  <w:num w:numId="28">
    <w:abstractNumId w:val="16"/>
  </w:num>
  <w:num w:numId="29">
    <w:abstractNumId w:val="48"/>
  </w:num>
  <w:num w:numId="30">
    <w:abstractNumId w:val="14"/>
  </w:num>
  <w:num w:numId="31">
    <w:abstractNumId w:val="40"/>
  </w:num>
  <w:num w:numId="32">
    <w:abstractNumId w:val="37"/>
  </w:num>
  <w:num w:numId="33">
    <w:abstractNumId w:val="15"/>
  </w:num>
  <w:num w:numId="34">
    <w:abstractNumId w:val="42"/>
  </w:num>
  <w:num w:numId="35">
    <w:abstractNumId w:val="36"/>
  </w:num>
  <w:num w:numId="36">
    <w:abstractNumId w:val="43"/>
  </w:num>
  <w:num w:numId="37">
    <w:abstractNumId w:val="22"/>
  </w:num>
  <w:num w:numId="38">
    <w:abstractNumId w:val="24"/>
  </w:num>
  <w:num w:numId="39">
    <w:abstractNumId w:val="26"/>
  </w:num>
  <w:num w:numId="40">
    <w:abstractNumId w:val="28"/>
  </w:num>
  <w:num w:numId="41">
    <w:abstractNumId w:val="23"/>
  </w:num>
  <w:num w:numId="42">
    <w:abstractNumId w:val="46"/>
  </w:num>
  <w:num w:numId="43">
    <w:abstractNumId w:val="33"/>
  </w:num>
  <w:num w:numId="44">
    <w:abstractNumId w:val="20"/>
  </w:num>
  <w:num w:numId="45">
    <w:abstractNumId w:val="25"/>
  </w:num>
  <w:num w:numId="46">
    <w:abstractNumId w:val="32"/>
  </w:num>
  <w:num w:numId="47">
    <w:abstractNumId w:val="38"/>
  </w:num>
  <w:num w:numId="48">
    <w:abstractNumId w:val="41"/>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0802"/>
    <w:rsid w:val="000B2621"/>
    <w:rsid w:val="000B42DE"/>
    <w:rsid w:val="000B4885"/>
    <w:rsid w:val="000B75BA"/>
    <w:rsid w:val="000C350D"/>
    <w:rsid w:val="000C4072"/>
    <w:rsid w:val="000C4C06"/>
    <w:rsid w:val="000D323A"/>
    <w:rsid w:val="000D33CC"/>
    <w:rsid w:val="000D45A3"/>
    <w:rsid w:val="000E2531"/>
    <w:rsid w:val="000E5264"/>
    <w:rsid w:val="000E53A4"/>
    <w:rsid w:val="000F2382"/>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5FE1"/>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1B83"/>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0FE"/>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4045"/>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2EBC"/>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E7287"/>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77A8A"/>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4C60D-5B39-4D93-B864-A7A21E33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1307</Words>
  <Characters>7453</Characters>
  <Application>Microsoft Office Word</Application>
  <DocSecurity>0</DocSecurity>
  <Lines>62</Lines>
  <Paragraphs>17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4</cp:revision>
  <cp:lastPrinted>2018-04-24T20:10:00Z</cp:lastPrinted>
  <dcterms:created xsi:type="dcterms:W3CDTF">2018-10-09T10:11:00Z</dcterms:created>
  <dcterms:modified xsi:type="dcterms:W3CDTF">2018-10-09T11:38:00Z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